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CC" w:rsidRPr="00651AD5" w:rsidRDefault="00661C23" w:rsidP="00661C23">
      <w:pPr>
        <w:tabs>
          <w:tab w:val="left" w:pos="5387"/>
        </w:tabs>
        <w:rPr>
          <w:rFonts w:ascii="Verdana" w:hAnsi="Verdana"/>
          <w:sz w:val="20"/>
          <w:szCs w:val="20"/>
        </w:rPr>
      </w:pPr>
      <w:r w:rsidRPr="00651AD5">
        <w:rPr>
          <w:rFonts w:ascii="Verdana" w:hAnsi="Verdana"/>
          <w:sz w:val="20"/>
          <w:szCs w:val="20"/>
        </w:rPr>
        <w:t>Area Discipline Orientali</w:t>
      </w:r>
      <w:r w:rsidRPr="00651AD5">
        <w:rPr>
          <w:rFonts w:ascii="Verdana" w:hAnsi="Verdana"/>
          <w:sz w:val="20"/>
          <w:szCs w:val="20"/>
        </w:rPr>
        <w:tab/>
        <w:t>Bologna, 12 marzo 2013</w:t>
      </w:r>
    </w:p>
    <w:p w:rsidR="00651AD5" w:rsidRPr="00651AD5" w:rsidRDefault="00651AD5" w:rsidP="00661C23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ind w:left="5192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Ai Presidenti Regionali ADO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Ai Responsabili Regionali Settore Judo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Alla Commissione SAJ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Al Responsabile Nazionale Gare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Agli Ufficiali di Gara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Alle Società affiliate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>Il 28 Febbraio 2013 La Commissione SAJ dell’ADO UISP si è riunita e ha deciso di accogliere già dai prossimi Campionati regionali e/o Trofei alcune variazioni al Regolamento Internazionale per le Competizioni di Judo.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>Viene pertanto chiesto ai Responsabili di Gara di gestire il coordinamento tra Presidenti di Giuria e Arbitri delle varie competizioni così che le regole sotto riportate vengano puntualmente attese.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>La scelta di adottare da subito queste novità regolamentari nasce dal fatto che corrispondono esattamente ad alcuni nostri punti di vista circa l’approccio ad un combattimento più propositivo e mirato alla ricerca della vittoria attraverso l’acquisizione di punteggi ottenuti con azioni tecniche piuttosto che da sanzioni comminate all’avversario.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 xml:space="preserve">Riteniamo che una precisa e attenta applicazione da parte degli arbitri del regolamento così modificato, possa offrire uno spettacolo più tecnico, più positivo e più aderente al corretto spirito judoistico che sempre più spesso reclamiamo. 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>La Commissione SAI si mette a disposizione per qualsivoglia chiarimento.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>Il Responsabile Nazionale Settore Judo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</w:r>
      <w:r w:rsidRPr="00651AD5">
        <w:rPr>
          <w:rFonts w:ascii="Verdana" w:hAnsi="Verdana" w:cs="Arial"/>
          <w:i/>
          <w:sz w:val="20"/>
          <w:szCs w:val="20"/>
        </w:rPr>
        <w:tab/>
        <w:t xml:space="preserve">     </w:t>
      </w:r>
      <w:r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</w:t>
      </w:r>
      <w:r w:rsidRPr="00651AD5">
        <w:rPr>
          <w:rFonts w:ascii="Verdana" w:hAnsi="Verdana" w:cs="Arial"/>
          <w:i/>
          <w:sz w:val="20"/>
          <w:szCs w:val="20"/>
        </w:rPr>
        <w:t xml:space="preserve">Claudio </w:t>
      </w:r>
      <w:proofErr w:type="spellStart"/>
      <w:r w:rsidRPr="00651AD5">
        <w:rPr>
          <w:rFonts w:ascii="Verdana" w:hAnsi="Verdana" w:cs="Arial"/>
          <w:i/>
          <w:sz w:val="20"/>
          <w:szCs w:val="20"/>
        </w:rPr>
        <w:t>Bufalini</w:t>
      </w:r>
      <w:proofErr w:type="spellEnd"/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i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51AD5">
        <w:rPr>
          <w:rFonts w:ascii="Verdana" w:hAnsi="Verdana" w:cs="Arial"/>
          <w:b/>
          <w:sz w:val="20"/>
          <w:szCs w:val="20"/>
        </w:rPr>
        <w:t>MODIFICHE AL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51AD5">
        <w:rPr>
          <w:rFonts w:ascii="Verdana" w:hAnsi="Verdana" w:cs="Arial"/>
          <w:b/>
          <w:sz w:val="20"/>
          <w:szCs w:val="20"/>
        </w:rPr>
        <w:t>APPENDICE ART. 20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Attuale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Se un combattente, dopo essere stato proiettato, intenzionalmente cade in posizione di “ponte” (testa e talloni a contatto col tappeto, mentre il resto del corpo forma un arco al di sopra del tatami), sebbene l’atleta possa aver evitato uno dei criteri necessari per l’</w:t>
      </w:r>
      <w:proofErr w:type="spellStart"/>
      <w:r w:rsidRPr="00651AD5">
        <w:rPr>
          <w:rFonts w:ascii="Verdana" w:hAnsi="Verdana" w:cs="Arial"/>
          <w:sz w:val="20"/>
          <w:szCs w:val="20"/>
        </w:rPr>
        <w:t>ippon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, l’arbitro potrà, comunque, per scoraggiare una simile azione, aggiudicare un </w:t>
      </w:r>
      <w:proofErr w:type="spellStart"/>
      <w:r w:rsidRPr="00651AD5">
        <w:rPr>
          <w:rFonts w:ascii="Verdana" w:hAnsi="Verdana" w:cs="Arial"/>
          <w:sz w:val="20"/>
          <w:szCs w:val="20"/>
        </w:rPr>
        <w:t>ippon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o qualsiasi altro punteggio egli ritenga che la tecnica effettuata meriti.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0C663A" w:rsidRDefault="000C663A" w:rsidP="00651AD5">
      <w:pPr>
        <w:rPr>
          <w:rFonts w:ascii="Verdana" w:hAnsi="Verdana" w:cs="Arial"/>
          <w:b/>
          <w:color w:val="FF0000"/>
          <w:sz w:val="20"/>
          <w:szCs w:val="20"/>
        </w:rPr>
      </w:pPr>
    </w:p>
    <w:p w:rsidR="00651AD5" w:rsidRPr="00651AD5" w:rsidRDefault="00651AD5" w:rsidP="00651AD5">
      <w:pPr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lastRenderedPageBreak/>
        <w:t>Modifica regolamento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Tutte le situazioni di atterraggio sul ponte saranno  considerate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Ippon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>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6600"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  <w:r w:rsidRPr="00651AD5">
        <w:rPr>
          <w:rFonts w:ascii="Verdana" w:hAnsi="Verdana" w:cs="Arial"/>
          <w:b/>
          <w:sz w:val="20"/>
          <w:szCs w:val="20"/>
          <w:lang w:val="en-US"/>
        </w:rPr>
        <w:t xml:space="preserve">ART. 23 </w:t>
      </w:r>
      <w:proofErr w:type="spellStart"/>
      <w:r w:rsidRPr="00651AD5">
        <w:rPr>
          <w:rFonts w:ascii="Verdana" w:hAnsi="Verdana" w:cs="Arial"/>
          <w:b/>
          <w:sz w:val="20"/>
          <w:szCs w:val="20"/>
          <w:lang w:val="en-US"/>
        </w:rPr>
        <w:t>Waza-ari</w:t>
      </w:r>
      <w:proofErr w:type="spellEnd"/>
      <w:r w:rsidRPr="00651AD5">
        <w:rPr>
          <w:rFonts w:ascii="Verdana" w:hAnsi="Verdana" w:cs="Arial"/>
          <w:b/>
          <w:sz w:val="20"/>
          <w:szCs w:val="20"/>
          <w:lang w:val="en-US"/>
        </w:rPr>
        <w:t xml:space="preserve"> e ART. 24  Yuko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Attuale regolamento</w:t>
      </w:r>
    </w:p>
    <w:p w:rsidR="00651AD5" w:rsidRPr="00651AD5" w:rsidRDefault="00651AD5" w:rsidP="00651AD5">
      <w:pPr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sz w:val="20"/>
          <w:szCs w:val="20"/>
        </w:rPr>
        <w:t>*equivalenza</w:t>
      </w:r>
      <w:proofErr w:type="spellEnd"/>
      <w:r w:rsidRPr="00651AD5">
        <w:rPr>
          <w:rFonts w:ascii="Verdana" w:hAnsi="Verdana" w:cs="Arial"/>
          <w:sz w:val="20"/>
          <w:szCs w:val="20"/>
        </w:rPr>
        <w:t>: qualora un combattente venisse penalizzato con “</w:t>
      </w:r>
      <w:proofErr w:type="spellStart"/>
      <w:r w:rsidRPr="00651AD5">
        <w:rPr>
          <w:rFonts w:ascii="Verdana" w:hAnsi="Verdana" w:cs="Arial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2”, l’altro beneficerà immediatamente di uno </w:t>
      </w:r>
      <w:proofErr w:type="spellStart"/>
      <w:r w:rsidRPr="00651AD5">
        <w:rPr>
          <w:rFonts w:ascii="Verdana" w:hAnsi="Verdana" w:cs="Arial"/>
          <w:sz w:val="20"/>
          <w:szCs w:val="20"/>
        </w:rPr>
        <w:t>yuko</w:t>
      </w:r>
      <w:proofErr w:type="spellEnd"/>
      <w:r w:rsidRPr="00651AD5">
        <w:rPr>
          <w:rFonts w:ascii="Verdana" w:hAnsi="Verdana" w:cs="Arial"/>
          <w:sz w:val="20"/>
          <w:szCs w:val="20"/>
        </w:rPr>
        <w:t>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sz w:val="20"/>
          <w:szCs w:val="20"/>
        </w:rPr>
        <w:t>*equivalenza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: se un combattente viene penalizzato con un </w:t>
      </w:r>
      <w:proofErr w:type="spellStart"/>
      <w:r w:rsidRPr="00651AD5">
        <w:rPr>
          <w:rFonts w:ascii="Verdana" w:hAnsi="Verdana" w:cs="Arial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3, l’altro riceverà immediatamente un </w:t>
      </w:r>
      <w:proofErr w:type="spellStart"/>
      <w:r w:rsidRPr="00651AD5">
        <w:rPr>
          <w:rFonts w:ascii="Verdana" w:hAnsi="Verdana" w:cs="Arial"/>
          <w:sz w:val="20"/>
          <w:szCs w:val="20"/>
        </w:rPr>
        <w:t>waza-ari</w:t>
      </w:r>
      <w:proofErr w:type="spellEnd"/>
      <w:r w:rsidRPr="00651AD5">
        <w:rPr>
          <w:rFonts w:ascii="Verdana" w:hAnsi="Verdana" w:cs="Arial"/>
          <w:sz w:val="20"/>
          <w:szCs w:val="20"/>
        </w:rPr>
        <w:t>.</w:t>
      </w:r>
    </w:p>
    <w:p w:rsidR="00651AD5" w:rsidRPr="00651AD5" w:rsidRDefault="00651AD5" w:rsidP="00651AD5">
      <w:pPr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Modifica regolamento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Durante il combattimento, ad un combattente potranno essere comminati fino a 3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senza che all’avversario vengano assegnati punti, al quarto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si comminerà la sanzione di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Hansoku-make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(3 avvertimenti e poi squalifica).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Quindi gli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comminati ad un combattente non danno nessun punteggio all’avversario. I punteggi si acquisiscono soltanto attraverso l’applicazione di azioni tecniche.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Se alla fine del combattimento, i contendenti sono a pari punteggio e sono presenti degli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>, vincerà chi ha meno richiami.</w:t>
      </w:r>
    </w:p>
    <w:p w:rsidR="00651AD5" w:rsidRPr="00651AD5" w:rsidRDefault="00651AD5" w:rsidP="00651AD5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Se alla fine del tempo regolamentare, in caso di parità di punteggio, il combattimento continuasse al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golden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score, il primo combattente che otterrà un punteggio attraverso un’azione tecnica vincerà l’incontro, ovvero il primo combattente che riceverà uno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Shido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perderà l’incontro.</w:t>
      </w:r>
    </w:p>
    <w:p w:rsidR="00651AD5" w:rsidRPr="00DB0ED4" w:rsidRDefault="00651AD5" w:rsidP="00DB0ED4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 xml:space="preserve"> </w:t>
      </w:r>
      <w:r w:rsidRPr="00651AD5">
        <w:rPr>
          <w:rFonts w:ascii="Verdana" w:hAnsi="Verdana" w:cs="Arial"/>
          <w:b/>
          <w:i/>
          <w:sz w:val="20"/>
          <w:szCs w:val="20"/>
        </w:rPr>
        <w:t>ART.</w:t>
      </w:r>
      <w:r w:rsidRPr="00651AD5">
        <w:rPr>
          <w:rFonts w:ascii="Verdana" w:hAnsi="Verdana" w:cs="Arial"/>
          <w:b/>
          <w:sz w:val="20"/>
          <w:szCs w:val="20"/>
        </w:rPr>
        <w:t xml:space="preserve"> </w:t>
      </w:r>
      <w:r w:rsidRPr="00651AD5">
        <w:rPr>
          <w:rFonts w:ascii="Verdana" w:hAnsi="Verdana" w:cs="Arial"/>
          <w:b/>
          <w:i/>
          <w:sz w:val="20"/>
          <w:szCs w:val="20"/>
        </w:rPr>
        <w:t xml:space="preserve">13 - TEMPO </w:t>
      </w:r>
      <w:proofErr w:type="spellStart"/>
      <w:r w:rsidRPr="00651AD5">
        <w:rPr>
          <w:rFonts w:ascii="Verdana" w:hAnsi="Verdana" w:cs="Arial"/>
          <w:b/>
          <w:i/>
          <w:sz w:val="20"/>
          <w:szCs w:val="20"/>
        </w:rPr>
        <w:t>DI</w:t>
      </w:r>
      <w:proofErr w:type="spellEnd"/>
      <w:r w:rsidRPr="00651AD5">
        <w:rPr>
          <w:rFonts w:ascii="Verdana" w:hAnsi="Verdana" w:cs="Arial"/>
          <w:b/>
          <w:i/>
          <w:sz w:val="20"/>
          <w:szCs w:val="20"/>
        </w:rPr>
        <w:t xml:space="preserve"> OSAEKOMI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Attuale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sz w:val="20"/>
          <w:szCs w:val="20"/>
        </w:rPr>
        <w:t>Ippon</w:t>
      </w:r>
      <w:proofErr w:type="spellEnd"/>
      <w:r w:rsidRPr="00651AD5">
        <w:rPr>
          <w:rFonts w:ascii="Verdana" w:hAnsi="Verdana" w:cs="Arial"/>
          <w:b/>
          <w:bCs/>
          <w:sz w:val="20"/>
          <w:szCs w:val="20"/>
        </w:rPr>
        <w:t>:</w:t>
      </w:r>
      <w:r w:rsidRPr="00651AD5">
        <w:rPr>
          <w:rFonts w:ascii="Verdana" w:hAnsi="Verdana" w:cs="Arial"/>
          <w:b/>
          <w:bCs/>
          <w:sz w:val="20"/>
          <w:szCs w:val="20"/>
        </w:rPr>
        <w:tab/>
      </w:r>
      <w:r w:rsidRPr="00651AD5">
        <w:rPr>
          <w:rFonts w:ascii="Verdana" w:hAnsi="Verdana" w:cs="Arial"/>
          <w:b/>
          <w:bCs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25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sz w:val="20"/>
          <w:szCs w:val="20"/>
        </w:rPr>
        <w:t>Waza-ari</w:t>
      </w:r>
      <w:proofErr w:type="spellEnd"/>
      <w:r w:rsidRPr="00651AD5">
        <w:rPr>
          <w:rFonts w:ascii="Verdana" w:hAnsi="Verdana" w:cs="Arial"/>
          <w:b/>
          <w:bCs/>
          <w:sz w:val="20"/>
          <w:szCs w:val="20"/>
        </w:rPr>
        <w:t>:</w:t>
      </w:r>
      <w:r w:rsidRPr="00651AD5">
        <w:rPr>
          <w:rFonts w:ascii="Verdana" w:hAnsi="Verdana" w:cs="Arial"/>
          <w:b/>
          <w:bCs/>
          <w:sz w:val="20"/>
          <w:szCs w:val="20"/>
        </w:rPr>
        <w:tab/>
      </w:r>
      <w:r w:rsidRPr="00651AD5">
        <w:rPr>
          <w:rFonts w:ascii="Verdana" w:hAnsi="Verdana" w:cs="Arial"/>
          <w:b/>
          <w:bCs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>dai 20 ai 24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sz w:val="20"/>
          <w:szCs w:val="20"/>
        </w:rPr>
        <w:t>Yuko</w:t>
      </w:r>
      <w:proofErr w:type="spellEnd"/>
      <w:r w:rsidRPr="00651AD5">
        <w:rPr>
          <w:rFonts w:ascii="Verdana" w:hAnsi="Verdana" w:cs="Arial"/>
          <w:sz w:val="20"/>
          <w:szCs w:val="20"/>
        </w:rPr>
        <w:t>:</w:t>
      </w:r>
      <w:r w:rsidRPr="00651AD5">
        <w:rPr>
          <w:rFonts w:ascii="Verdana" w:hAnsi="Verdana" w:cs="Arial"/>
          <w:sz w:val="20"/>
          <w:szCs w:val="20"/>
        </w:rPr>
        <w:tab/>
      </w:r>
      <w:r w:rsidRPr="00651AD5">
        <w:rPr>
          <w:rFonts w:ascii="Verdana" w:hAnsi="Verdana" w:cs="Arial"/>
          <w:sz w:val="20"/>
          <w:szCs w:val="20"/>
        </w:rPr>
        <w:tab/>
        <w:t>dai 15 ai 19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 xml:space="preserve">Un </w:t>
      </w:r>
      <w:proofErr w:type="spellStart"/>
      <w:r w:rsidRPr="00651AD5">
        <w:rPr>
          <w:rFonts w:ascii="Verdana" w:hAnsi="Verdana" w:cs="Arial"/>
          <w:sz w:val="20"/>
          <w:szCs w:val="20"/>
        </w:rPr>
        <w:t>osaekomi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di durata inferiore ai 15 secondi sarà valutato come un attacco.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b/>
          <w:color w:val="FF6600"/>
          <w:sz w:val="20"/>
          <w:szCs w:val="20"/>
        </w:rPr>
      </w:pP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L’arbitro annuncerà matte nel caso di “</w:t>
      </w:r>
      <w:proofErr w:type="spellStart"/>
      <w:r w:rsidRPr="00651AD5">
        <w:rPr>
          <w:rFonts w:ascii="Verdana" w:hAnsi="Verdana" w:cs="Arial"/>
          <w:sz w:val="20"/>
          <w:szCs w:val="20"/>
        </w:rPr>
        <w:t>osaekomi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sul bordo”, quando il combattente immobilizzato romperà il controllo dell’avversario o riuscirà a trascinare completamente entrambe i contendenti completamente fuori dall’area di competizione. (non sarà sufficiente sospendere in aria e far perdere contatto all’avversario quando si è ancora dentro all’area di competizione).</w:t>
      </w:r>
    </w:p>
    <w:p w:rsidR="00651AD5" w:rsidRPr="00651AD5" w:rsidRDefault="00651AD5" w:rsidP="00651AD5">
      <w:pPr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Modifica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>Ippon</w:t>
      </w:r>
      <w:proofErr w:type="spellEnd"/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>:</w:t>
      </w:r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651AD5">
        <w:rPr>
          <w:rFonts w:ascii="Verdana" w:hAnsi="Verdana" w:cs="Arial"/>
          <w:color w:val="FF0000"/>
          <w:sz w:val="20"/>
          <w:szCs w:val="20"/>
        </w:rPr>
        <w:t>20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>Waza-ari</w:t>
      </w:r>
      <w:proofErr w:type="spellEnd"/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>:</w:t>
      </w:r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ab/>
      </w:r>
      <w:r w:rsidRPr="00651AD5">
        <w:rPr>
          <w:rFonts w:ascii="Verdana" w:hAnsi="Verdana" w:cs="Arial"/>
          <w:color w:val="FF0000"/>
          <w:sz w:val="20"/>
          <w:szCs w:val="20"/>
        </w:rPr>
        <w:t>dai 15 ai 19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proofErr w:type="spellStart"/>
      <w:r w:rsidRPr="00651AD5">
        <w:rPr>
          <w:rFonts w:ascii="Verdana" w:hAnsi="Verdana" w:cs="Arial"/>
          <w:b/>
          <w:bCs/>
          <w:color w:val="FF0000"/>
          <w:sz w:val="20"/>
          <w:szCs w:val="20"/>
        </w:rPr>
        <w:t>Yuko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>:</w:t>
      </w:r>
      <w:r w:rsidRPr="00651AD5">
        <w:rPr>
          <w:rFonts w:ascii="Verdana" w:hAnsi="Verdana" w:cs="Arial"/>
          <w:color w:val="FF0000"/>
          <w:sz w:val="20"/>
          <w:szCs w:val="20"/>
        </w:rPr>
        <w:tab/>
      </w:r>
      <w:r w:rsidRPr="00651AD5">
        <w:rPr>
          <w:rFonts w:ascii="Verdana" w:hAnsi="Verdana" w:cs="Arial"/>
          <w:color w:val="FF0000"/>
          <w:sz w:val="20"/>
          <w:szCs w:val="20"/>
        </w:rPr>
        <w:tab/>
        <w:t>dai 10 ai 14 secondi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Un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osaekomi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di durata inferiore ai 10 secondi sarà valutato come un attacco. Questi tempi sono validi per tutte le categorie agonistiche.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lastRenderedPageBreak/>
        <w:t xml:space="preserve">Dopo l’annuncio di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osaekomi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>, questa potrà continuare anche al di fuori dell’area di combattimento.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</w:p>
    <w:p w:rsidR="00651AD5" w:rsidRPr="00DB0ED4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b/>
          <w:color w:val="FF0000"/>
          <w:sz w:val="20"/>
          <w:szCs w:val="20"/>
          <w:lang w:val="en-US"/>
        </w:rPr>
      </w:pPr>
      <w:r w:rsidRPr="00DB0ED4">
        <w:rPr>
          <w:rFonts w:ascii="Verdana" w:hAnsi="Verdana" w:cs="Arial"/>
          <w:b/>
          <w:color w:val="FF0000"/>
          <w:sz w:val="20"/>
          <w:szCs w:val="20"/>
          <w:lang w:val="en-US"/>
        </w:rPr>
        <w:t>KANSETSU-WAZA E SHIME-WAZA</w:t>
      </w:r>
    </w:p>
    <w:p w:rsidR="00651AD5" w:rsidRPr="00DB0ED4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1F497D"/>
          <w:sz w:val="20"/>
          <w:szCs w:val="20"/>
          <w:lang w:val="en-US"/>
        </w:rPr>
      </w:pP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Kansetsu-Waza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e gli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Shime-Waza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iniziati all’interno dell’area di combattimento e riconosciuti efficaci dall’arbitro, potranno essere proseguiti anche se i combattenti finiscono fuori dell’area di combattimento purché ci sia continuità di azione e rapidità di risultato, quindi fino alla resa di uno dei 2 contendenti ovvero fino alla perdita di efficacia della tecnica valutata dall’arbitro.</w:t>
      </w:r>
    </w:p>
    <w:p w:rsidR="00651AD5" w:rsidRPr="00651AD5" w:rsidRDefault="00651AD5" w:rsidP="00651AD5">
      <w:pPr>
        <w:shd w:val="clear" w:color="auto" w:fill="F5F5F5"/>
        <w:spacing w:after="0" w:line="240" w:lineRule="auto"/>
        <w:textAlignment w:val="top"/>
        <w:rPr>
          <w:rFonts w:ascii="Verdana" w:hAnsi="Verdana" w:cs="Arial"/>
          <w:b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br/>
      </w:r>
      <w:r w:rsidRPr="00651AD5">
        <w:rPr>
          <w:rFonts w:ascii="Verdana" w:hAnsi="Verdana" w:cs="Arial"/>
          <w:b/>
          <w:sz w:val="20"/>
          <w:szCs w:val="20"/>
        </w:rPr>
        <w:t>CATEGORIA CADETTI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Attuale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 xml:space="preserve">Per le categorie Cadetti maschili e femminili sono vietati i </w:t>
      </w:r>
      <w:proofErr w:type="spellStart"/>
      <w:r w:rsidRPr="00651AD5">
        <w:rPr>
          <w:rFonts w:ascii="Verdana" w:hAnsi="Verdana" w:cs="Arial"/>
          <w:sz w:val="20"/>
          <w:szCs w:val="20"/>
        </w:rPr>
        <w:t>Kansetsu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51AD5">
        <w:rPr>
          <w:rFonts w:ascii="Verdana" w:hAnsi="Verdana" w:cs="Arial"/>
          <w:sz w:val="20"/>
          <w:szCs w:val="20"/>
        </w:rPr>
        <w:t>Waza</w:t>
      </w:r>
      <w:proofErr w:type="spellEnd"/>
      <w:r w:rsidRPr="00651AD5">
        <w:rPr>
          <w:rFonts w:ascii="Verdana" w:hAnsi="Verdana" w:cs="Arial"/>
          <w:sz w:val="20"/>
          <w:szCs w:val="20"/>
        </w:rPr>
        <w:t xml:space="preserve">, inoltre un atleta che ha perso conoscenza, a seguito di </w:t>
      </w:r>
      <w:proofErr w:type="spellStart"/>
      <w:r w:rsidRPr="00651AD5">
        <w:rPr>
          <w:rFonts w:ascii="Verdana" w:hAnsi="Verdana" w:cs="Arial"/>
          <w:sz w:val="20"/>
          <w:szCs w:val="20"/>
        </w:rPr>
        <w:t>Shime-waza</w:t>
      </w:r>
      <w:proofErr w:type="spellEnd"/>
      <w:r w:rsidRPr="00651AD5">
        <w:rPr>
          <w:rFonts w:ascii="Verdana" w:hAnsi="Verdana" w:cs="Arial"/>
          <w:sz w:val="20"/>
          <w:szCs w:val="20"/>
        </w:rPr>
        <w:t>, non potrà continuare la competizione.</w:t>
      </w:r>
    </w:p>
    <w:p w:rsidR="00651AD5" w:rsidRPr="00651AD5" w:rsidRDefault="00651AD5" w:rsidP="00651AD5">
      <w:pPr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Modifica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E’ consentita l’applicazione dei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Kansetsu-Waza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 anche alle categorie Cadetti/e, inoltre se un atleta, in seguito ad uno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Shime-waza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perde conoscenza, non potrà continuare la competizione.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51AD5">
        <w:rPr>
          <w:rFonts w:ascii="Verdana" w:hAnsi="Verdana" w:cs="Arial"/>
          <w:b/>
          <w:sz w:val="20"/>
          <w:szCs w:val="20"/>
        </w:rPr>
        <w:t>ART.2/e  GOLDEN SCORE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Attuale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Qualora alla fine del tempo regolamentare i combattenti si trovassero in parità, l’Arbitro, in accordo con il Presidente di Giuria, darà continuità all’incontro per un tempo reale non superiore a 3 minuti. L’incontro verrà comunque interrotto al primo vantaggio acquisito da uno dei due combattenti.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651AD5">
        <w:rPr>
          <w:rFonts w:ascii="Verdana" w:hAnsi="Verdana" w:cs="Arial"/>
          <w:sz w:val="20"/>
          <w:szCs w:val="20"/>
        </w:rPr>
        <w:t>All’inizio del GOLDEN SCORE</w:t>
      </w:r>
      <w:r w:rsidRPr="00651AD5">
        <w:rPr>
          <w:rFonts w:ascii="Verdana" w:hAnsi="Verdana" w:cs="Arial"/>
          <w:color w:val="0000FF"/>
          <w:sz w:val="20"/>
          <w:szCs w:val="20"/>
        </w:rPr>
        <w:t xml:space="preserve"> </w:t>
      </w:r>
      <w:r w:rsidRPr="00651AD5">
        <w:rPr>
          <w:rFonts w:ascii="Verdana" w:hAnsi="Verdana" w:cs="Arial"/>
          <w:sz w:val="20"/>
          <w:szCs w:val="20"/>
        </w:rPr>
        <w:t>devono essere azzerati solo i cronometri.</w:t>
      </w:r>
    </w:p>
    <w:p w:rsidR="00651AD5" w:rsidRPr="00DB0ED4" w:rsidRDefault="00651AD5" w:rsidP="00651AD5">
      <w:pPr>
        <w:spacing w:after="120" w:line="240" w:lineRule="auto"/>
        <w:jc w:val="both"/>
        <w:rPr>
          <w:rFonts w:ascii="Verdana" w:hAnsi="Verdana" w:cs="Arial"/>
          <w:color w:val="0000FF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Modifica regolamento</w:t>
      </w:r>
    </w:p>
    <w:p w:rsidR="00651AD5" w:rsidRPr="00651AD5" w:rsidRDefault="00651AD5" w:rsidP="00651AD5">
      <w:pPr>
        <w:spacing w:after="120" w:line="240" w:lineRule="auto"/>
        <w:jc w:val="both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Non è previsto limite di tempo per il Golden Score per cui il combattimento si prolungherà fino al conseguimento di un qualunque punteggio da parte di un Atleta o della comminazione di una penalità ad uno dei due contendenti, in buona sostanza l'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Hantei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 viene eliminato.</w:t>
      </w:r>
    </w:p>
    <w:p w:rsidR="00651AD5" w:rsidRPr="00651AD5" w:rsidRDefault="00651AD5" w:rsidP="00651AD5">
      <w:pPr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 xml:space="preserve">ALTRE SITUAZIONI MERITEVOLI </w:t>
      </w:r>
      <w:proofErr w:type="spellStart"/>
      <w:r w:rsidRPr="00651AD5">
        <w:rPr>
          <w:rFonts w:ascii="Verdana" w:hAnsi="Verdana" w:cs="Arial"/>
          <w:b/>
          <w:color w:val="FF0000"/>
          <w:sz w:val="20"/>
          <w:szCs w:val="20"/>
        </w:rPr>
        <w:t>DI</w:t>
      </w:r>
      <w:proofErr w:type="spellEnd"/>
      <w:r w:rsidRPr="00651AD5">
        <w:rPr>
          <w:rFonts w:ascii="Verdana" w:hAnsi="Verdana" w:cs="Arial"/>
          <w:b/>
          <w:color w:val="FF0000"/>
          <w:sz w:val="20"/>
          <w:szCs w:val="20"/>
        </w:rPr>
        <w:t xml:space="preserve"> SHIDO</w:t>
      </w:r>
    </w:p>
    <w:p w:rsidR="00651AD5" w:rsidRPr="00651AD5" w:rsidRDefault="00651AD5" w:rsidP="00651AD5">
      <w:pPr>
        <w:numPr>
          <w:ilvl w:val="0"/>
          <w:numId w:val="3"/>
        </w:num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Rompere la presa con 2 mani</w:t>
      </w:r>
    </w:p>
    <w:p w:rsidR="00651AD5" w:rsidRPr="00651AD5" w:rsidRDefault="00651AD5" w:rsidP="00651AD5">
      <w:pPr>
        <w:numPr>
          <w:ilvl w:val="0"/>
          <w:numId w:val="3"/>
        </w:numPr>
        <w:shd w:val="clear" w:color="auto" w:fill="F5F5F5"/>
        <w:spacing w:after="0" w:line="240" w:lineRule="auto"/>
        <w:textAlignment w:val="top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Abbracciare l’avversario per un lancio.</w:t>
      </w:r>
    </w:p>
    <w:p w:rsidR="00651AD5" w:rsidRPr="00651AD5" w:rsidRDefault="00651AD5" w:rsidP="00651AD5">
      <w:pPr>
        <w:numPr>
          <w:ilvl w:val="0"/>
          <w:numId w:val="3"/>
        </w:numPr>
        <w:spacing w:after="240" w:line="240" w:lineRule="atLeast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 xml:space="preserve">Mantenere la presa incrociata o la presa alla cintura o le prese dallo stesso lato, senza effettuare un attacco in tempi rapidi. </w:t>
      </w:r>
    </w:p>
    <w:p w:rsidR="00DB0ED4" w:rsidRDefault="00651AD5" w:rsidP="00DB0ED4">
      <w:pPr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Inoltre gli arbitri penalizzeranno i combattenti che non cercheranno di fare le prese in tempi rapidi o che cercheranno di impedire all’avversario di fare le prese.</w:t>
      </w:r>
    </w:p>
    <w:p w:rsidR="00651AD5" w:rsidRPr="00DB0ED4" w:rsidRDefault="00651AD5" w:rsidP="00DB0ED4">
      <w:pPr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REGOLE COMPORTAMENTALI  PER I TECNICI</w:t>
      </w:r>
    </w:p>
    <w:p w:rsidR="00651AD5" w:rsidRPr="00651AD5" w:rsidRDefault="00651AD5" w:rsidP="00651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Per i Tecnici verranno predisposte 2 sedie, una relativa al combattente con la cintura Bianca e una relativa al combattente con la cintura Rossa , poste ad almeno 50 cm dall’area di competizione.</w:t>
      </w:r>
    </w:p>
    <w:p w:rsidR="00651AD5" w:rsidRPr="00651AD5" w:rsidRDefault="00651AD5" w:rsidP="00651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Il Tecnico che intende seguire l’Atleta della propria Società dovrà utilizzare la sedia messa a disposizione senza mai alzarsi per tutta la durata del combattimento, comprese le fasi di aggiudicazione della vittoria.</w:t>
      </w:r>
    </w:p>
    <w:p w:rsidR="00651AD5" w:rsidRPr="00651AD5" w:rsidRDefault="00651AD5" w:rsidP="00651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lastRenderedPageBreak/>
        <w:t xml:space="preserve">Ai tecnici non sarà permesso dare indicazioni agli atleti mentre questi ultimi stanno combattendo. Sarà permesso dare indicazioni agli atleti solo nel corso della pausa tra il Matte e il successivo </w:t>
      </w:r>
      <w:proofErr w:type="spellStart"/>
      <w:r w:rsidRPr="00651AD5">
        <w:rPr>
          <w:rFonts w:ascii="Verdana" w:hAnsi="Verdana" w:cs="Arial"/>
          <w:color w:val="FF0000"/>
          <w:sz w:val="20"/>
          <w:szCs w:val="20"/>
        </w:rPr>
        <w:t>Hajme</w:t>
      </w:r>
      <w:proofErr w:type="spellEnd"/>
      <w:r w:rsidRPr="00651AD5">
        <w:rPr>
          <w:rFonts w:ascii="Verdana" w:hAnsi="Verdana" w:cs="Arial"/>
          <w:color w:val="FF0000"/>
          <w:sz w:val="20"/>
          <w:szCs w:val="20"/>
        </w:rPr>
        <w:t xml:space="preserve">. </w:t>
      </w:r>
    </w:p>
    <w:p w:rsidR="00651AD5" w:rsidRPr="00651AD5" w:rsidRDefault="00651AD5" w:rsidP="00651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Se il Tecnico non rispetta</w:t>
      </w:r>
      <w:r w:rsidRPr="00651AD5">
        <w:rPr>
          <w:rFonts w:ascii="Verdana" w:hAnsi="Verdana" w:cs="Arial"/>
          <w:color w:val="1F497D"/>
          <w:sz w:val="20"/>
          <w:szCs w:val="20"/>
        </w:rPr>
        <w:t xml:space="preserve"> </w:t>
      </w:r>
      <w:r w:rsidRPr="00651AD5">
        <w:rPr>
          <w:rFonts w:ascii="Verdana" w:hAnsi="Verdana" w:cs="Arial"/>
          <w:color w:val="FF0000"/>
          <w:sz w:val="20"/>
          <w:szCs w:val="20"/>
        </w:rPr>
        <w:t>questa regola comportamentale potrà essere richiamato ufficialmente previa esposizione del cartellino giallo  o, in caso di grave o reiterato comportamento scorretto, allontanato dalla sedia previa esposizione del cartellino rosso.</w:t>
      </w:r>
    </w:p>
    <w:p w:rsidR="00651AD5" w:rsidRPr="00651AD5" w:rsidRDefault="00651AD5" w:rsidP="00651AD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Qualora il Tecnico continui a non mantenere un comportamento idoneo anche una volta uscito dall’area di gara potranno essere prese ulteriori decisioni sanzionatorie.</w:t>
      </w:r>
    </w:p>
    <w:p w:rsidR="00651AD5" w:rsidRPr="00651AD5" w:rsidRDefault="00651AD5" w:rsidP="00651AD5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20"/>
          <w:szCs w:val="20"/>
        </w:rPr>
      </w:pPr>
      <w:r w:rsidRPr="00651AD5">
        <w:rPr>
          <w:rFonts w:ascii="Verdana" w:hAnsi="Verdana" w:cs="Arial"/>
          <w:b/>
          <w:color w:val="FF0000"/>
          <w:sz w:val="20"/>
          <w:szCs w:val="20"/>
        </w:rPr>
        <w:t>COMPORTAMENI PROIBITI AI TECNICI</w:t>
      </w:r>
    </w:p>
    <w:p w:rsidR="00651AD5" w:rsidRPr="00651AD5" w:rsidRDefault="00651AD5" w:rsidP="00651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Commentare o criticare il verdetto degli Arbitri.</w:t>
      </w:r>
    </w:p>
    <w:p w:rsidR="00651AD5" w:rsidRPr="00651AD5" w:rsidRDefault="00651AD5" w:rsidP="00651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Richiedere modifiche alle valutazioni arbitrali.</w:t>
      </w:r>
    </w:p>
    <w:p w:rsidR="00651AD5" w:rsidRPr="00651AD5" w:rsidRDefault="00651AD5" w:rsidP="00651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Verdana" w:hAnsi="Verdana" w:cs="Arial"/>
          <w:color w:val="FF0000"/>
          <w:sz w:val="20"/>
          <w:szCs w:val="20"/>
        </w:rPr>
      </w:pPr>
      <w:r w:rsidRPr="00651AD5">
        <w:rPr>
          <w:rFonts w:ascii="Verdana" w:hAnsi="Verdana" w:cs="Arial"/>
          <w:color w:val="FF0000"/>
          <w:sz w:val="20"/>
          <w:szCs w:val="20"/>
        </w:rPr>
        <w:t>Tenere atteggiamenti antisportivi nei confronti degli Arbitri, dei Presidenti di Giuria, del Tecnico concorrente, dell’Atleta concorrente , del proprio Atleta (esempio lasciarlo solo durante la fase di aggiudicazione della vittoria all’avversario),del Pubblico, di qualsiasi apparecchiatura strumentazione messa a disposizione dalla organizzazione per lo svolgimento della competizione, ecc..</w:t>
      </w:r>
    </w:p>
    <w:p w:rsidR="00651AD5" w:rsidRPr="00651AD5" w:rsidRDefault="00651AD5" w:rsidP="00651AD5">
      <w:pPr>
        <w:rPr>
          <w:rFonts w:ascii="Verdana" w:hAnsi="Verdana" w:cs="Arial"/>
          <w:color w:val="FF0000"/>
          <w:sz w:val="20"/>
          <w:szCs w:val="20"/>
        </w:rPr>
      </w:pPr>
    </w:p>
    <w:p w:rsidR="00651AD5" w:rsidRPr="00651AD5" w:rsidRDefault="00651AD5" w:rsidP="00661C23">
      <w:pPr>
        <w:tabs>
          <w:tab w:val="left" w:pos="5387"/>
        </w:tabs>
        <w:rPr>
          <w:rFonts w:ascii="Verdana" w:hAnsi="Verdana"/>
          <w:sz w:val="20"/>
          <w:szCs w:val="20"/>
        </w:rPr>
      </w:pPr>
    </w:p>
    <w:sectPr w:rsidR="00651AD5" w:rsidRPr="00651AD5" w:rsidSect="00713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39" w:rsidRDefault="007A5839">
      <w:pPr>
        <w:spacing w:after="0" w:line="240" w:lineRule="auto"/>
      </w:pPr>
      <w:r>
        <w:separator/>
      </w:r>
    </w:p>
  </w:endnote>
  <w:endnote w:type="continuationSeparator" w:id="0">
    <w:p w:rsidR="007A5839" w:rsidRDefault="007A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9" w:rsidRDefault="007A583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9" w:rsidRDefault="007A58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Area Nazionale Discipline Orientali </w:t>
    </w:r>
  </w:p>
  <w:p w:rsidR="007A5839" w:rsidRDefault="007A58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III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Tel . +39.051.225881- Fax. +39.051.225203 - e-mail: disc.orientali@uisp.it - www.uisp.it/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disc.orientali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9" w:rsidRDefault="007A5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39" w:rsidRDefault="007A5839">
      <w:pPr>
        <w:spacing w:after="0" w:line="240" w:lineRule="auto"/>
      </w:pPr>
      <w:r>
        <w:separator/>
      </w:r>
    </w:p>
  </w:footnote>
  <w:footnote w:type="continuationSeparator" w:id="0">
    <w:p w:rsidR="007A5839" w:rsidRDefault="007A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9" w:rsidRDefault="007A583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7A5839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A5839" w:rsidRDefault="00661C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466850" cy="9017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7A5839" w:rsidRDefault="007A58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 xml:space="preserve">AREA NAZIONALE DISCIPLINE ORIENTALI </w:t>
          </w:r>
        </w:p>
      </w:tc>
    </w:tr>
  </w:tbl>
  <w:p w:rsidR="007A5839" w:rsidRDefault="007A583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9" w:rsidRDefault="007A58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297"/>
    <w:multiLevelType w:val="hybridMultilevel"/>
    <w:tmpl w:val="E6B8B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E04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0348"/>
    <w:multiLevelType w:val="hybridMultilevel"/>
    <w:tmpl w:val="0BA88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75FC"/>
    <w:multiLevelType w:val="hybridMultilevel"/>
    <w:tmpl w:val="1194A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D4FCC"/>
    <w:rsid w:val="000C663A"/>
    <w:rsid w:val="00651AD5"/>
    <w:rsid w:val="00661C23"/>
    <w:rsid w:val="006D4FCC"/>
    <w:rsid w:val="00713A3E"/>
    <w:rsid w:val="007A5839"/>
    <w:rsid w:val="0089034A"/>
    <w:rsid w:val="008C24DE"/>
    <w:rsid w:val="00DB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A3E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51AD5"/>
    <w:pPr>
      <w:keepNext/>
      <w:keepLines/>
      <w:spacing w:before="200" w:after="0" w:line="240" w:lineRule="atLeast"/>
      <w:outlineLvl w:val="6"/>
    </w:pPr>
    <w:rPr>
      <w:rFonts w:eastAsia="MS Gothic"/>
      <w:i/>
      <w:iCs/>
      <w:color w:val="404040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13A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13A3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D4F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AD5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51AD5"/>
    <w:rPr>
      <w:rFonts w:eastAsia="MS Gothic"/>
      <w:i/>
      <w:iCs/>
      <w:color w:val="40404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6551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7631</CharactersWithSpaces>
  <SharedDoc>false</SharedDoc>
  <HLinks>
    <vt:vector size="18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mailto:claudioebruna@tiscali.it</vt:lpwstr>
      </vt:variant>
      <vt:variant>
        <vt:lpwstr/>
      </vt:variant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http://www.pegasohotel.com/</vt:lpwstr>
      </vt:variant>
      <vt:variant>
        <vt:lpwstr/>
      </vt:variant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mailto:pegasohotel@virgilio.it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Claudia e Vittorio</cp:lastModifiedBy>
  <cp:revision>2</cp:revision>
  <dcterms:created xsi:type="dcterms:W3CDTF">2013-05-06T11:37:00Z</dcterms:created>
  <dcterms:modified xsi:type="dcterms:W3CDTF">2013-05-06T11:37:00Z</dcterms:modified>
</cp:coreProperties>
</file>